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55" w:rsidRDefault="00D51D55">
      <w:pPr>
        <w:rPr>
          <w:rFonts w:ascii="Verdana" w:hAnsi="Verdana"/>
          <w:b/>
          <w:sz w:val="24"/>
        </w:rPr>
      </w:pPr>
      <w:r w:rsidRPr="00D830D8">
        <w:rPr>
          <w:rFonts w:ascii="Verdana" w:hAnsi="Verdana"/>
          <w:b/>
          <w:sz w:val="24"/>
        </w:rPr>
        <w:t xml:space="preserve">Kvalita podnikateľského prostredia </w:t>
      </w:r>
      <w:r w:rsidR="00984A94" w:rsidRPr="00D830D8">
        <w:rPr>
          <w:rFonts w:ascii="Verdana" w:hAnsi="Verdana"/>
          <w:b/>
          <w:sz w:val="24"/>
        </w:rPr>
        <w:t xml:space="preserve">sa na Slovensku </w:t>
      </w:r>
      <w:r w:rsidRPr="00D830D8">
        <w:rPr>
          <w:rFonts w:ascii="Verdana" w:hAnsi="Verdana"/>
          <w:b/>
          <w:sz w:val="24"/>
        </w:rPr>
        <w:t>nezlepšuje</w:t>
      </w:r>
    </w:p>
    <w:p w:rsidR="00D830D8" w:rsidRPr="00D830D8" w:rsidRDefault="00D830D8">
      <w:pPr>
        <w:rPr>
          <w:rFonts w:ascii="Verdana" w:hAnsi="Verdana"/>
          <w:b/>
          <w:sz w:val="24"/>
        </w:rPr>
      </w:pPr>
    </w:p>
    <w:p w:rsidR="008F177C" w:rsidRPr="00984A94" w:rsidRDefault="00D51D55" w:rsidP="00D51D55">
      <w:pPr>
        <w:jc w:val="both"/>
        <w:rPr>
          <w:rFonts w:ascii="Verdana" w:hAnsi="Verdana"/>
        </w:rPr>
      </w:pPr>
      <w:r w:rsidRPr="00984A94">
        <w:rPr>
          <w:rFonts w:ascii="Verdana" w:hAnsi="Verdana"/>
        </w:rPr>
        <w:t xml:space="preserve">Kvalitné podnikateľské prostredie je vo všeobecnosti považované za kľúčovú podmienku, ktorá </w:t>
      </w:r>
      <w:r w:rsidR="008F177C" w:rsidRPr="00984A94">
        <w:rPr>
          <w:rFonts w:ascii="Verdana" w:hAnsi="Verdana"/>
        </w:rPr>
        <w:t>ovplyvňuje</w:t>
      </w:r>
      <w:r w:rsidRPr="00984A94">
        <w:rPr>
          <w:rFonts w:ascii="Verdana" w:hAnsi="Verdana"/>
        </w:rPr>
        <w:t xml:space="preserve"> </w:t>
      </w:r>
      <w:r w:rsidR="008F177C" w:rsidRPr="00984A94">
        <w:rPr>
          <w:rFonts w:ascii="Verdana" w:hAnsi="Verdana"/>
        </w:rPr>
        <w:t>dlhodobú konkurencieschopnosť</w:t>
      </w:r>
      <w:r w:rsidRPr="00984A94">
        <w:rPr>
          <w:rFonts w:ascii="Verdana" w:hAnsi="Verdana"/>
        </w:rPr>
        <w:t xml:space="preserve"> a rast každej trhovej ekonomiky. Podľa viacerých špecializovaných medzinárodných hodnotení (napr. </w:t>
      </w:r>
      <w:proofErr w:type="spellStart"/>
      <w:r w:rsidRPr="00984A94">
        <w:rPr>
          <w:rFonts w:ascii="Verdana" w:hAnsi="Verdana"/>
        </w:rPr>
        <w:t>Doing</w:t>
      </w:r>
      <w:proofErr w:type="spellEnd"/>
      <w:r w:rsidRPr="00984A94">
        <w:rPr>
          <w:rFonts w:ascii="Verdana" w:hAnsi="Verdana"/>
        </w:rPr>
        <w:t xml:space="preserve"> </w:t>
      </w:r>
      <w:proofErr w:type="spellStart"/>
      <w:r w:rsidRPr="00984A94">
        <w:rPr>
          <w:rFonts w:ascii="Verdana" w:hAnsi="Verdana"/>
        </w:rPr>
        <w:t>Business</w:t>
      </w:r>
      <w:proofErr w:type="spellEnd"/>
      <w:r w:rsidRPr="00984A94">
        <w:rPr>
          <w:rFonts w:ascii="Verdana" w:hAnsi="Verdana"/>
        </w:rPr>
        <w:t xml:space="preserve">, </w:t>
      </w:r>
      <w:proofErr w:type="spellStart"/>
      <w:r w:rsidRPr="00984A94">
        <w:rPr>
          <w:rFonts w:ascii="Verdana" w:hAnsi="Verdana"/>
          <w:shd w:val="clear" w:color="auto" w:fill="FFFFFF"/>
        </w:rPr>
        <w:t>World</w:t>
      </w:r>
      <w:proofErr w:type="spellEnd"/>
      <w:r w:rsidRPr="00984A94">
        <w:rPr>
          <w:rFonts w:ascii="Verdana" w:hAnsi="Verdana"/>
          <w:shd w:val="clear" w:color="auto" w:fill="FFFFFF"/>
        </w:rPr>
        <w:t xml:space="preserve"> </w:t>
      </w:r>
      <w:proofErr w:type="spellStart"/>
      <w:r w:rsidRPr="00984A94">
        <w:rPr>
          <w:rFonts w:ascii="Verdana" w:hAnsi="Verdana"/>
          <w:shd w:val="clear" w:color="auto" w:fill="FFFFFF"/>
        </w:rPr>
        <w:t>Competitiveness</w:t>
      </w:r>
      <w:proofErr w:type="spellEnd"/>
      <w:r w:rsidRPr="00984A94">
        <w:rPr>
          <w:rFonts w:ascii="Verdana" w:hAnsi="Verdana"/>
          <w:shd w:val="clear" w:color="auto" w:fill="FFFFFF"/>
        </w:rPr>
        <w:t xml:space="preserve"> </w:t>
      </w:r>
      <w:proofErr w:type="spellStart"/>
      <w:r w:rsidRPr="00984A94">
        <w:rPr>
          <w:rFonts w:ascii="Verdana" w:hAnsi="Verdana"/>
          <w:shd w:val="clear" w:color="auto" w:fill="FFFFFF"/>
        </w:rPr>
        <w:t>Yearbook</w:t>
      </w:r>
      <w:proofErr w:type="spellEnd"/>
      <w:r w:rsidRPr="00984A94">
        <w:rPr>
          <w:rFonts w:ascii="Verdana" w:hAnsi="Verdana"/>
          <w:shd w:val="clear" w:color="auto" w:fill="FFFFFF"/>
        </w:rPr>
        <w:t xml:space="preserve"> alebo Index ekonomickej slobody</w:t>
      </w:r>
      <w:r w:rsidRPr="00984A94">
        <w:rPr>
          <w:rFonts w:ascii="Verdana" w:hAnsi="Verdana"/>
        </w:rPr>
        <w:t xml:space="preserve">) sa </w:t>
      </w:r>
      <w:r w:rsidR="00473D4C" w:rsidRPr="00984A94">
        <w:rPr>
          <w:rFonts w:ascii="Verdana" w:hAnsi="Verdana"/>
        </w:rPr>
        <w:t>podnikateľské prostredie</w:t>
      </w:r>
      <w:r w:rsidRPr="00984A94">
        <w:rPr>
          <w:rFonts w:ascii="Verdana" w:hAnsi="Verdana"/>
        </w:rPr>
        <w:t xml:space="preserve"> na Slovensku v porovnaní s ostatnými krajinami sveta výrazne nezlepšuje. V Slovak </w:t>
      </w:r>
      <w:proofErr w:type="spellStart"/>
      <w:r w:rsidRPr="00984A94">
        <w:rPr>
          <w:rFonts w:ascii="Verdana" w:hAnsi="Verdana"/>
        </w:rPr>
        <w:t>Business</w:t>
      </w:r>
      <w:proofErr w:type="spellEnd"/>
      <w:r w:rsidRPr="00984A94">
        <w:rPr>
          <w:rFonts w:ascii="Verdana" w:hAnsi="Verdana"/>
        </w:rPr>
        <w:t xml:space="preserve"> </w:t>
      </w:r>
      <w:proofErr w:type="spellStart"/>
      <w:r w:rsidRPr="00984A94">
        <w:rPr>
          <w:rFonts w:ascii="Verdana" w:hAnsi="Verdana"/>
        </w:rPr>
        <w:t>Agency</w:t>
      </w:r>
      <w:proofErr w:type="spellEnd"/>
      <w:r w:rsidRPr="00984A94">
        <w:rPr>
          <w:rFonts w:ascii="Verdana" w:hAnsi="Verdana"/>
        </w:rPr>
        <w:t xml:space="preserve"> sme sa preto rozhodli </w:t>
      </w:r>
      <w:r w:rsidR="008F177C" w:rsidRPr="00984A94">
        <w:rPr>
          <w:rFonts w:ascii="Verdana" w:hAnsi="Verdana"/>
        </w:rPr>
        <w:t xml:space="preserve">získať názory na </w:t>
      </w:r>
      <w:r w:rsidR="00C37CF4" w:rsidRPr="00984A94">
        <w:rPr>
          <w:rFonts w:ascii="Verdana" w:hAnsi="Verdana"/>
        </w:rPr>
        <w:t xml:space="preserve">kvalitu </w:t>
      </w:r>
      <w:r w:rsidR="008F177C" w:rsidRPr="00984A94">
        <w:rPr>
          <w:rFonts w:ascii="Verdana" w:hAnsi="Verdana"/>
        </w:rPr>
        <w:t>podnikateľské</w:t>
      </w:r>
      <w:r w:rsidR="00C37CF4" w:rsidRPr="00984A94">
        <w:rPr>
          <w:rFonts w:ascii="Verdana" w:hAnsi="Verdana"/>
        </w:rPr>
        <w:t>ho prostredia</w:t>
      </w:r>
      <w:r w:rsidR="008F177C" w:rsidRPr="00984A94">
        <w:rPr>
          <w:rFonts w:ascii="Verdana" w:hAnsi="Verdana"/>
        </w:rPr>
        <w:t xml:space="preserve"> priamo od malých a stredných podnikateľov (MSP) na Slovensku.</w:t>
      </w:r>
    </w:p>
    <w:p w:rsidR="008F177C" w:rsidRPr="00984A94" w:rsidRDefault="00473D4C" w:rsidP="00D51D55">
      <w:pPr>
        <w:jc w:val="both"/>
        <w:rPr>
          <w:rFonts w:ascii="Verdana" w:hAnsi="Verdana"/>
        </w:rPr>
      </w:pPr>
      <w:r w:rsidRPr="00984A94">
        <w:rPr>
          <w:rFonts w:ascii="Verdana" w:hAnsi="Verdana"/>
        </w:rPr>
        <w:t>Výsledky</w:t>
      </w:r>
      <w:r w:rsidR="008F177C" w:rsidRPr="00984A94">
        <w:rPr>
          <w:rFonts w:ascii="Verdana" w:hAnsi="Verdana"/>
        </w:rPr>
        <w:t xml:space="preserve"> prieskumu, ktorý bol realizovaný v mesiacoch január a február 2020, teda ešte v období pred prijatím opatrení proti šíreniu ochorenia Covid-19,</w:t>
      </w:r>
      <w:r w:rsidR="00C37CF4" w:rsidRPr="00984A94">
        <w:rPr>
          <w:rFonts w:ascii="Verdana" w:hAnsi="Verdana"/>
        </w:rPr>
        <w:t xml:space="preserve"> </w:t>
      </w:r>
      <w:r w:rsidRPr="00984A94">
        <w:rPr>
          <w:rFonts w:ascii="Verdana" w:hAnsi="Verdana"/>
        </w:rPr>
        <w:t>potvrdzujú stagnáciu kvality</w:t>
      </w:r>
      <w:r w:rsidR="00C37CF4" w:rsidRPr="00984A94">
        <w:rPr>
          <w:rFonts w:ascii="Verdana" w:hAnsi="Verdana"/>
        </w:rPr>
        <w:t xml:space="preserve"> </w:t>
      </w:r>
      <w:r w:rsidRPr="00984A94">
        <w:rPr>
          <w:rFonts w:ascii="Verdana" w:hAnsi="Verdana"/>
        </w:rPr>
        <w:t xml:space="preserve">podnikateľského prostredia </w:t>
      </w:r>
      <w:r w:rsidR="009D14C2" w:rsidRPr="00984A94">
        <w:rPr>
          <w:rFonts w:ascii="Verdana" w:hAnsi="Verdana"/>
        </w:rPr>
        <w:t xml:space="preserve">na Slovensku. </w:t>
      </w:r>
      <w:r w:rsidR="00DB2440" w:rsidRPr="00984A94">
        <w:rPr>
          <w:rFonts w:ascii="Verdana" w:hAnsi="Verdana"/>
          <w:b/>
        </w:rPr>
        <w:t>Podľa indexu spokojnosti MSP sa kvalita podnikateľského prostredia na Slovensku od roku 2018 nezlepšila</w:t>
      </w:r>
      <w:r w:rsidR="00DB2440" w:rsidRPr="00984A94">
        <w:rPr>
          <w:rFonts w:ascii="Verdana" w:hAnsi="Verdana"/>
        </w:rPr>
        <w:t xml:space="preserve">. </w:t>
      </w:r>
      <w:r w:rsidR="009D14C2" w:rsidRPr="00984A94">
        <w:rPr>
          <w:rFonts w:ascii="Verdana" w:hAnsi="Verdana"/>
        </w:rPr>
        <w:t xml:space="preserve">Napriek viacerým „balíčkom“, ktoré boli v predchádzajúcich rokoch prijaté za účelom zlepšenia podmienok podnikania, je až </w:t>
      </w:r>
      <w:r w:rsidR="009D14C2" w:rsidRPr="00984A94">
        <w:rPr>
          <w:rFonts w:ascii="Verdana" w:hAnsi="Verdana"/>
          <w:b/>
        </w:rPr>
        <w:t xml:space="preserve">62 % malých a stredných podnikateľov </w:t>
      </w:r>
      <w:r w:rsidR="009D14C2" w:rsidRPr="00984A94">
        <w:rPr>
          <w:rFonts w:ascii="Verdana" w:hAnsi="Verdana"/>
        </w:rPr>
        <w:t>nespokojných so súčasnými podmienkami.</w:t>
      </w:r>
    </w:p>
    <w:p w:rsidR="00D51D55" w:rsidRPr="00984A94" w:rsidRDefault="00A76D5B" w:rsidP="00D51D55">
      <w:pPr>
        <w:jc w:val="both"/>
        <w:rPr>
          <w:rFonts w:ascii="Verdana" w:hAnsi="Verdana"/>
        </w:rPr>
      </w:pPr>
      <w:r w:rsidRPr="00984A94">
        <w:rPr>
          <w:rFonts w:ascii="Verdana" w:hAnsi="Verdana"/>
        </w:rPr>
        <w:t xml:space="preserve">Pre </w:t>
      </w:r>
      <w:r w:rsidRPr="00984A94">
        <w:rPr>
          <w:rFonts w:ascii="Verdana" w:hAnsi="Verdana"/>
          <w:b/>
        </w:rPr>
        <w:t>94 % MSP</w:t>
      </w:r>
      <w:r w:rsidRPr="00984A94">
        <w:rPr>
          <w:rFonts w:ascii="Verdana" w:hAnsi="Verdana"/>
        </w:rPr>
        <w:t xml:space="preserve"> je najvážnejším problémom podnikania na Slovensku</w:t>
      </w:r>
      <w:r w:rsidR="005768B6" w:rsidRPr="00984A94">
        <w:rPr>
          <w:rFonts w:ascii="Verdana" w:hAnsi="Verdana"/>
          <w:b/>
        </w:rPr>
        <w:t xml:space="preserve"> </w:t>
      </w:r>
      <w:r w:rsidR="005768B6" w:rsidRPr="00984A94">
        <w:rPr>
          <w:rFonts w:ascii="Verdana" w:hAnsi="Verdana"/>
        </w:rPr>
        <w:t>nestabilita a nejednoznačnosť zákonov</w:t>
      </w:r>
      <w:r w:rsidRPr="00984A94">
        <w:rPr>
          <w:rFonts w:ascii="Verdana" w:hAnsi="Verdana"/>
        </w:rPr>
        <w:t xml:space="preserve">. Dynamicky však </w:t>
      </w:r>
      <w:r w:rsidRPr="00984A94">
        <w:rPr>
          <w:rFonts w:ascii="Verdana" w:hAnsi="Verdana"/>
          <w:b/>
        </w:rPr>
        <w:t>narastá problém</w:t>
      </w:r>
      <w:r w:rsidR="005768B6" w:rsidRPr="00984A94">
        <w:rPr>
          <w:rFonts w:ascii="Verdana" w:hAnsi="Verdana"/>
          <w:b/>
        </w:rPr>
        <w:t xml:space="preserve"> s dostupnosťou a kvalitou pracovnej sily</w:t>
      </w:r>
      <w:r w:rsidR="005768B6" w:rsidRPr="00984A94">
        <w:rPr>
          <w:rFonts w:ascii="Verdana" w:hAnsi="Verdana"/>
        </w:rPr>
        <w:t>. Za preká</w:t>
      </w:r>
      <w:r w:rsidRPr="00984A94">
        <w:rPr>
          <w:rFonts w:ascii="Verdana" w:hAnsi="Verdana"/>
        </w:rPr>
        <w:t>žku v podnikaní ju v roku 2020 označilo až 81</w:t>
      </w:r>
      <w:r w:rsidR="005768B6" w:rsidRPr="00984A94">
        <w:rPr>
          <w:rFonts w:ascii="Verdana" w:hAnsi="Verdana"/>
        </w:rPr>
        <w:t xml:space="preserve"> % MSP. Medzi významnejšie bariéry </w:t>
      </w:r>
      <w:r w:rsidRPr="00984A94">
        <w:rPr>
          <w:rFonts w:ascii="Verdana" w:hAnsi="Verdana"/>
        </w:rPr>
        <w:t>podnika</w:t>
      </w:r>
      <w:r w:rsidR="00984A94">
        <w:rPr>
          <w:rFonts w:ascii="Verdana" w:hAnsi="Verdana"/>
        </w:rPr>
        <w:t>telia uviedli aj</w:t>
      </w:r>
      <w:r w:rsidRPr="00984A94">
        <w:rPr>
          <w:rFonts w:ascii="Verdana" w:hAnsi="Verdana"/>
        </w:rPr>
        <w:t xml:space="preserve"> korupciu (77</w:t>
      </w:r>
      <w:r w:rsidR="005768B6" w:rsidRPr="00984A94">
        <w:rPr>
          <w:rFonts w:ascii="Verdana" w:hAnsi="Verdana"/>
        </w:rPr>
        <w:t xml:space="preserve"> %) a vymožite</w:t>
      </w:r>
      <w:r w:rsidRPr="00984A94">
        <w:rPr>
          <w:rFonts w:ascii="Verdana" w:hAnsi="Verdana"/>
        </w:rPr>
        <w:t>ľnosť práva súdnou cestou  (77</w:t>
      </w:r>
      <w:r w:rsidR="005768B6" w:rsidRPr="00984A94">
        <w:rPr>
          <w:rFonts w:ascii="Verdana" w:hAnsi="Verdana"/>
        </w:rPr>
        <w:t xml:space="preserve"> %). </w:t>
      </w:r>
      <w:r w:rsidR="00984A94">
        <w:rPr>
          <w:rFonts w:ascii="Verdana" w:hAnsi="Verdana"/>
        </w:rPr>
        <w:t xml:space="preserve">Malí a strední podnikatelia vnímajú čoraz citlivejšie oblasť kvality a dostupnosti </w:t>
      </w:r>
      <w:r w:rsidR="00984A94" w:rsidRPr="00984A94">
        <w:rPr>
          <w:rFonts w:ascii="Verdana" w:hAnsi="Verdana"/>
        </w:rPr>
        <w:t>infraštruktúry</w:t>
      </w:r>
      <w:r w:rsidR="00984A94">
        <w:rPr>
          <w:rFonts w:ascii="Verdana" w:hAnsi="Verdana"/>
        </w:rPr>
        <w:t>, ktorú vníma ako prekážku vo svojom podnikaní 71 % oslovených MSP.</w:t>
      </w:r>
    </w:p>
    <w:p w:rsidR="00A76D5B" w:rsidRPr="00984A94" w:rsidRDefault="00984A94" w:rsidP="00984A94">
      <w:pPr>
        <w:spacing w:after="0"/>
        <w:jc w:val="both"/>
        <w:rPr>
          <w:rFonts w:ascii="Verdana" w:hAnsi="Verdana"/>
          <w:sz w:val="20"/>
        </w:rPr>
      </w:pPr>
      <w:r w:rsidRPr="00984A94">
        <w:rPr>
          <w:rFonts w:ascii="Verdana" w:hAnsi="Verdana"/>
          <w:b/>
          <w:sz w:val="20"/>
        </w:rPr>
        <w:t>Prekážky pre fungovanie a ďalší rast podnikania na Slovensku, 2010-2020</w:t>
      </w:r>
    </w:p>
    <w:p w:rsidR="00EE0AF7" w:rsidRDefault="00A76D5B" w:rsidP="00D51D55">
      <w:pPr>
        <w:jc w:val="both"/>
        <w:rPr>
          <w:rFonts w:ascii="Verdana" w:hAnsi="Verdana"/>
        </w:rPr>
      </w:pPr>
      <w:r w:rsidRPr="00984A94">
        <w:rPr>
          <w:rFonts w:ascii="Verdana" w:hAnsi="Verdana"/>
          <w:noProof/>
          <w:lang w:eastAsia="sk-SK"/>
        </w:rPr>
        <w:drawing>
          <wp:inline distT="0" distB="0" distL="0" distR="0" wp14:anchorId="621C6BB3" wp14:editId="775C9EBF">
            <wp:extent cx="5654167" cy="2734129"/>
            <wp:effectExtent l="0" t="0" r="22860" b="9525"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278B" w:rsidRDefault="0060278B" w:rsidP="00D51D55">
      <w:pPr>
        <w:jc w:val="both"/>
        <w:rPr>
          <w:rFonts w:ascii="Verdana" w:hAnsi="Verdana"/>
        </w:rPr>
      </w:pPr>
      <w:r w:rsidRPr="0060278B">
        <w:rPr>
          <w:rFonts w:ascii="Verdana" w:hAnsi="Verdana"/>
        </w:rPr>
        <w:lastRenderedPageBreak/>
        <w:t xml:space="preserve">Prekážku v podnikaní predstavujú pre malých a stredných podnikateľov aj zásahy štátu. Problémom je najmä </w:t>
      </w:r>
      <w:r>
        <w:rPr>
          <w:rFonts w:ascii="Verdana" w:hAnsi="Verdana"/>
        </w:rPr>
        <w:t xml:space="preserve">prehnaná </w:t>
      </w:r>
      <w:r w:rsidRPr="0060278B">
        <w:rPr>
          <w:rFonts w:ascii="Verdana" w:hAnsi="Verdana"/>
        </w:rPr>
        <w:t>regulácia</w:t>
      </w:r>
      <w:r>
        <w:rPr>
          <w:rFonts w:ascii="Verdana" w:hAnsi="Verdana"/>
        </w:rPr>
        <w:t xml:space="preserve"> pracovno-právnych vzťahov (73</w:t>
      </w:r>
      <w:r w:rsidRPr="0060278B">
        <w:rPr>
          <w:rFonts w:ascii="Verdana" w:hAnsi="Verdana"/>
        </w:rPr>
        <w:t xml:space="preserve"> %), regul</w:t>
      </w:r>
      <w:r>
        <w:rPr>
          <w:rFonts w:ascii="Verdana" w:hAnsi="Verdana"/>
        </w:rPr>
        <w:t>ácia cien tovarov a služieb (63</w:t>
      </w:r>
      <w:r w:rsidRPr="0060278B">
        <w:rPr>
          <w:rFonts w:ascii="Verdana" w:hAnsi="Verdana"/>
        </w:rPr>
        <w:t xml:space="preserve"> %) </w:t>
      </w:r>
      <w:r>
        <w:rPr>
          <w:rFonts w:ascii="Verdana" w:hAnsi="Verdana"/>
        </w:rPr>
        <w:t xml:space="preserve">a </w:t>
      </w:r>
      <w:r w:rsidRPr="0060278B">
        <w:rPr>
          <w:rFonts w:ascii="Verdana" w:hAnsi="Verdana"/>
        </w:rPr>
        <w:t>zásahy štátu v oblasti oc</w:t>
      </w:r>
      <w:r w:rsidR="00D1091C">
        <w:rPr>
          <w:rFonts w:ascii="Verdana" w:hAnsi="Verdana"/>
        </w:rPr>
        <w:t>hrany životného prostredia (60</w:t>
      </w:r>
      <w:r w:rsidRPr="0060278B">
        <w:rPr>
          <w:rFonts w:ascii="Verdana" w:hAnsi="Verdana"/>
        </w:rPr>
        <w:t xml:space="preserve"> %).</w:t>
      </w:r>
    </w:p>
    <w:p w:rsidR="00D830D8" w:rsidRDefault="00D830D8" w:rsidP="00D51D55">
      <w:pPr>
        <w:jc w:val="both"/>
        <w:rPr>
          <w:rFonts w:ascii="Verdana" w:hAnsi="Verdana"/>
        </w:rPr>
      </w:pPr>
    </w:p>
    <w:p w:rsidR="0060278B" w:rsidRPr="00D830D8" w:rsidRDefault="0060278B" w:rsidP="00D51D55">
      <w:pPr>
        <w:jc w:val="both"/>
        <w:rPr>
          <w:rFonts w:ascii="Verdana" w:hAnsi="Verdana"/>
          <w:b/>
          <w:sz w:val="24"/>
        </w:rPr>
      </w:pPr>
      <w:r w:rsidRPr="00D830D8">
        <w:rPr>
          <w:rFonts w:ascii="Verdana" w:hAnsi="Verdana"/>
          <w:b/>
          <w:sz w:val="24"/>
        </w:rPr>
        <w:t>Nestabilita a nejednoznačnosť zákonov v</w:t>
      </w:r>
      <w:r w:rsidR="00D830D8" w:rsidRPr="00D830D8">
        <w:rPr>
          <w:rFonts w:ascii="Verdana" w:hAnsi="Verdana"/>
          <w:b/>
          <w:sz w:val="24"/>
        </w:rPr>
        <w:t> </w:t>
      </w:r>
      <w:r w:rsidRPr="00D830D8">
        <w:rPr>
          <w:rFonts w:ascii="Verdana" w:hAnsi="Verdana"/>
          <w:b/>
          <w:sz w:val="24"/>
        </w:rPr>
        <w:t>praxi</w:t>
      </w:r>
    </w:p>
    <w:p w:rsidR="003B2B72" w:rsidRDefault="00D830D8" w:rsidP="00D51D55">
      <w:pPr>
        <w:jc w:val="both"/>
        <w:rPr>
          <w:rFonts w:ascii="Verdana" w:hAnsi="Verdana"/>
        </w:rPr>
      </w:pPr>
      <w:r w:rsidRPr="003B2B72">
        <w:rPr>
          <w:rFonts w:ascii="Verdana" w:hAnsi="Verdana"/>
          <w:b/>
        </w:rPr>
        <w:t>Viac ako tretina</w:t>
      </w:r>
      <w:r>
        <w:rPr>
          <w:rFonts w:ascii="Verdana" w:hAnsi="Verdana"/>
        </w:rPr>
        <w:t xml:space="preserve"> (36</w:t>
      </w:r>
      <w:r w:rsidRPr="00D830D8">
        <w:rPr>
          <w:rFonts w:ascii="Verdana" w:hAnsi="Verdana"/>
        </w:rPr>
        <w:t xml:space="preserve"> %) </w:t>
      </w:r>
      <w:r w:rsidR="00FF0BF8">
        <w:rPr>
          <w:rFonts w:ascii="Verdana" w:hAnsi="Verdana"/>
        </w:rPr>
        <w:t>oslovených MSP</w:t>
      </w:r>
      <w:r w:rsidRPr="00D830D8">
        <w:rPr>
          <w:rFonts w:ascii="Verdana" w:hAnsi="Verdana"/>
        </w:rPr>
        <w:t xml:space="preserve"> </w:t>
      </w:r>
      <w:r w:rsidR="00936DFD">
        <w:rPr>
          <w:rFonts w:ascii="Verdana" w:hAnsi="Verdana"/>
        </w:rPr>
        <w:t xml:space="preserve">si myslí, že v ich odvetví sa </w:t>
      </w:r>
      <w:r w:rsidR="00FF0BF8">
        <w:rPr>
          <w:rFonts w:ascii="Verdana" w:hAnsi="Verdana"/>
        </w:rPr>
        <w:t xml:space="preserve">na Slovensku </w:t>
      </w:r>
      <w:bookmarkStart w:id="0" w:name="_GoBack"/>
      <w:bookmarkEnd w:id="0"/>
      <w:r w:rsidR="00936DFD">
        <w:rPr>
          <w:rFonts w:ascii="Verdana" w:hAnsi="Verdana"/>
        </w:rPr>
        <w:t>nedá</w:t>
      </w:r>
      <w:r w:rsidRPr="00D830D8">
        <w:rPr>
          <w:rFonts w:ascii="Verdana" w:hAnsi="Verdana"/>
        </w:rPr>
        <w:t xml:space="preserve"> podnikať bez toho, aby nikdy neporušili žiaden zákon. S podnikaním bez porušovania zákonov majú problém najmä podnikatelia z od</w:t>
      </w:r>
      <w:r>
        <w:rPr>
          <w:rFonts w:ascii="Verdana" w:hAnsi="Verdana"/>
        </w:rPr>
        <w:t>vetvia ubytovanie a stravovanie.</w:t>
      </w:r>
    </w:p>
    <w:p w:rsidR="00D830D8" w:rsidRPr="00D830D8" w:rsidRDefault="00D830D8" w:rsidP="00D830D8">
      <w:pPr>
        <w:spacing w:after="0"/>
        <w:jc w:val="both"/>
        <w:rPr>
          <w:rFonts w:ascii="Verdana" w:hAnsi="Verdana"/>
          <w:b/>
          <w:sz w:val="20"/>
        </w:rPr>
      </w:pPr>
      <w:r w:rsidRPr="00D830D8">
        <w:rPr>
          <w:rFonts w:ascii="Verdana" w:hAnsi="Verdana"/>
          <w:b/>
          <w:sz w:val="20"/>
        </w:rPr>
        <w:t>Dá sa podľa Vás vo Vašom odvetví podnikať tak, aby ste nikdy neporušili žiadny zákon?</w:t>
      </w:r>
    </w:p>
    <w:p w:rsidR="00D830D8" w:rsidRDefault="003B2B72" w:rsidP="00D51D55">
      <w:pPr>
        <w:jc w:val="both"/>
        <w:rPr>
          <w:rFonts w:ascii="Verdana" w:hAnsi="Verdana"/>
        </w:rPr>
      </w:pPr>
      <w:r>
        <w:rPr>
          <w:noProof/>
          <w:lang w:eastAsia="sk-SK"/>
        </w:rPr>
        <w:drawing>
          <wp:inline distT="0" distB="0" distL="0" distR="0" wp14:anchorId="1792AD22" wp14:editId="748B4078">
            <wp:extent cx="5762625" cy="1552575"/>
            <wp:effectExtent l="0" t="0" r="9525" b="2857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1A0B" w:rsidRDefault="00BE1A0B" w:rsidP="00D51D5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Medzi malými a strednými podnikateľmi panuje jasná nespokojnosť s viacerými </w:t>
      </w:r>
      <w:r w:rsidRPr="00BE1A0B">
        <w:rPr>
          <w:rFonts w:ascii="Verdana" w:hAnsi="Verdana"/>
        </w:rPr>
        <w:t>zmenami zákonov</w:t>
      </w:r>
      <w:r>
        <w:rPr>
          <w:rFonts w:ascii="Verdana" w:hAnsi="Verdana"/>
        </w:rPr>
        <w:t xml:space="preserve"> v roku 2019</w:t>
      </w:r>
      <w:r w:rsidRPr="00BE1A0B">
        <w:rPr>
          <w:rFonts w:ascii="Verdana" w:hAnsi="Verdana"/>
        </w:rPr>
        <w:t xml:space="preserve">, ktoré boli </w:t>
      </w:r>
      <w:r>
        <w:rPr>
          <w:rFonts w:ascii="Verdana" w:hAnsi="Verdana"/>
        </w:rPr>
        <w:t xml:space="preserve">často </w:t>
      </w:r>
      <w:r w:rsidRPr="00BE1A0B">
        <w:rPr>
          <w:rFonts w:ascii="Verdana" w:hAnsi="Verdana"/>
        </w:rPr>
        <w:t xml:space="preserve">prijímané </w:t>
      </w:r>
      <w:r>
        <w:rPr>
          <w:rFonts w:ascii="Verdana" w:hAnsi="Verdana"/>
        </w:rPr>
        <w:t xml:space="preserve">„neštandardným“ spôsobom </w:t>
      </w:r>
      <w:r w:rsidRPr="00BE1A0B">
        <w:rPr>
          <w:rFonts w:ascii="Verdana" w:hAnsi="Verdana"/>
        </w:rPr>
        <w:t>bez posudzovania ich dopadov na podnikateľské prostredie</w:t>
      </w:r>
      <w:r>
        <w:rPr>
          <w:rFonts w:ascii="Verdana" w:hAnsi="Verdana"/>
        </w:rPr>
        <w:t xml:space="preserve">. Nemožno sa preto čudovať, že medzi </w:t>
      </w:r>
      <w:r w:rsidRPr="00BE1A0B">
        <w:rPr>
          <w:rFonts w:ascii="Verdana" w:hAnsi="Verdana"/>
          <w:b/>
        </w:rPr>
        <w:t>najčastejšie dôvody nedodržiavania zákonov pri podnikaní</w:t>
      </w:r>
      <w:r>
        <w:rPr>
          <w:rFonts w:ascii="Verdana" w:hAnsi="Verdana"/>
        </w:rPr>
        <w:t xml:space="preserve"> zástupcovia MSP uviedli:</w:t>
      </w:r>
    </w:p>
    <w:p w:rsidR="00BE1A0B" w:rsidRDefault="00BE1A0B" w:rsidP="00BE1A0B">
      <w:pPr>
        <w:pStyle w:val="Odsekzoznamu"/>
        <w:numPr>
          <w:ilvl w:val="0"/>
          <w:numId w:val="1"/>
        </w:numPr>
        <w:jc w:val="both"/>
        <w:rPr>
          <w:rFonts w:ascii="Verdana" w:hAnsi="Verdana"/>
        </w:rPr>
      </w:pPr>
      <w:r w:rsidRPr="00BE1A0B">
        <w:rPr>
          <w:rFonts w:ascii="Verdana" w:hAnsi="Verdana"/>
        </w:rPr>
        <w:t>nedostatočnú konzultáciu s podnikateľmi pri príprave a prijímaní zákonov (62</w:t>
      </w:r>
      <w:r>
        <w:rPr>
          <w:rFonts w:ascii="Verdana" w:hAnsi="Verdana"/>
        </w:rPr>
        <w:t xml:space="preserve"> %);</w:t>
      </w:r>
      <w:r w:rsidRPr="00BE1A0B">
        <w:rPr>
          <w:rFonts w:ascii="Verdana" w:hAnsi="Verdana"/>
        </w:rPr>
        <w:t xml:space="preserve"> </w:t>
      </w:r>
    </w:p>
    <w:p w:rsidR="00BE1A0B" w:rsidRDefault="00BE1A0B" w:rsidP="00BE1A0B">
      <w:pPr>
        <w:pStyle w:val="Odsekzoznamu"/>
        <w:numPr>
          <w:ilvl w:val="0"/>
          <w:numId w:val="1"/>
        </w:numPr>
        <w:jc w:val="both"/>
        <w:rPr>
          <w:rFonts w:ascii="Verdana" w:hAnsi="Verdana"/>
        </w:rPr>
      </w:pPr>
      <w:r w:rsidRPr="00BE1A0B">
        <w:rPr>
          <w:rFonts w:ascii="Verdana" w:hAnsi="Verdana"/>
        </w:rPr>
        <w:t>časté zmeny zákonov, ktoré podnikatelia ani nestíhajú sledovať (60 %)</w:t>
      </w:r>
      <w:r>
        <w:rPr>
          <w:rFonts w:ascii="Verdana" w:hAnsi="Verdana"/>
        </w:rPr>
        <w:t>;</w:t>
      </w:r>
    </w:p>
    <w:p w:rsidR="00BE1A0B" w:rsidRPr="00BE1A0B" w:rsidRDefault="00BE1A0B" w:rsidP="00BE1A0B">
      <w:pPr>
        <w:pStyle w:val="Odsekzoznamu"/>
        <w:numPr>
          <w:ilvl w:val="0"/>
          <w:numId w:val="1"/>
        </w:numPr>
        <w:jc w:val="both"/>
        <w:rPr>
          <w:rFonts w:ascii="Verdana" w:hAnsi="Verdana"/>
        </w:rPr>
      </w:pPr>
      <w:r w:rsidRPr="00BE1A0B">
        <w:rPr>
          <w:rFonts w:ascii="Verdana" w:hAnsi="Verdana"/>
        </w:rPr>
        <w:t>schvaľovanie zákonov bez posudzovania vplyvov na podnikateľské prostredie (58 %).</w:t>
      </w:r>
    </w:p>
    <w:p w:rsidR="00B55E8C" w:rsidRDefault="00B55E8C" w:rsidP="00D51D55">
      <w:pPr>
        <w:jc w:val="both"/>
        <w:rPr>
          <w:rFonts w:ascii="Verdana" w:hAnsi="Verdana"/>
        </w:rPr>
      </w:pPr>
      <w:r w:rsidRPr="00B55E8C">
        <w:rPr>
          <w:rFonts w:ascii="Verdana" w:hAnsi="Verdana"/>
        </w:rPr>
        <w:t>Skúsenosti a názory podnikateľov potvrdzujú tiež štatistiky SBA, podľa ktorých bolo na Slov</w:t>
      </w:r>
      <w:r>
        <w:rPr>
          <w:rFonts w:ascii="Verdana" w:hAnsi="Verdana"/>
        </w:rPr>
        <w:t>ensku počas roka 2019 prijatých</w:t>
      </w:r>
      <w:r w:rsidRPr="00B55E8C">
        <w:rPr>
          <w:rFonts w:ascii="Verdana" w:hAnsi="Verdana"/>
        </w:rPr>
        <w:t xml:space="preserve"> </w:t>
      </w:r>
      <w:r w:rsidRPr="00B55E8C">
        <w:rPr>
          <w:rFonts w:ascii="Verdana" w:hAnsi="Verdana"/>
          <w:b/>
        </w:rPr>
        <w:t>59 noviel desiatich hlavných zákonov</w:t>
      </w:r>
      <w:r w:rsidRPr="00B55E8C">
        <w:rPr>
          <w:rFonts w:ascii="Verdana" w:hAnsi="Verdana"/>
        </w:rPr>
        <w:t xml:space="preserve"> priamo súvisiacich s podnikaním.</w:t>
      </w:r>
    </w:p>
    <w:p w:rsidR="00097C35" w:rsidRDefault="0077337F" w:rsidP="0077337F">
      <w:pPr>
        <w:jc w:val="both"/>
        <w:rPr>
          <w:rFonts w:ascii="Verdana" w:hAnsi="Verdana"/>
        </w:rPr>
      </w:pPr>
      <w:r w:rsidRPr="0077337F">
        <w:rPr>
          <w:rFonts w:ascii="Verdana" w:hAnsi="Verdana"/>
        </w:rPr>
        <w:t>Na Slovensku sme nie zriedka svedkami prijímania nových legislatívnych predpisov, ktoré majú negatívny dopad pre malé a stre</w:t>
      </w:r>
      <w:r>
        <w:rPr>
          <w:rFonts w:ascii="Verdana" w:hAnsi="Verdana"/>
        </w:rPr>
        <w:t>dné podnikanie. V roku 2019 malo</w:t>
      </w:r>
      <w:r w:rsidRPr="0077337F">
        <w:rPr>
          <w:rFonts w:ascii="Verdana" w:hAnsi="Verdana"/>
        </w:rPr>
        <w:t xml:space="preserve"> na podnikanie MSP </w:t>
      </w:r>
      <w:r w:rsidRPr="0077337F">
        <w:rPr>
          <w:rFonts w:ascii="Verdana" w:hAnsi="Verdana"/>
          <w:b/>
        </w:rPr>
        <w:t>najväčší negatívny dopad zvyšovanie minimálnej mzdy</w:t>
      </w:r>
      <w:r>
        <w:rPr>
          <w:rFonts w:ascii="Verdana" w:hAnsi="Verdana"/>
        </w:rPr>
        <w:t>, ktoré sa dotklo 57</w:t>
      </w:r>
      <w:r w:rsidRPr="0077337F">
        <w:rPr>
          <w:rFonts w:ascii="Verdana" w:hAnsi="Verdana"/>
        </w:rPr>
        <w:t xml:space="preserve"> % MSP.</w:t>
      </w:r>
      <w:r>
        <w:rPr>
          <w:rFonts w:ascii="Verdana" w:hAnsi="Verdana"/>
        </w:rPr>
        <w:t xml:space="preserve"> </w:t>
      </w:r>
      <w:r w:rsidR="00CA3A9E">
        <w:rPr>
          <w:rFonts w:ascii="Verdana" w:hAnsi="Verdana"/>
        </w:rPr>
        <w:t xml:space="preserve">Postupné </w:t>
      </w:r>
      <w:r w:rsidR="00CA3A9E">
        <w:rPr>
          <w:rFonts w:ascii="Verdana" w:hAnsi="Verdana"/>
          <w:b/>
        </w:rPr>
        <w:t>z</w:t>
      </w:r>
      <w:r w:rsidRPr="00CA3A9E">
        <w:rPr>
          <w:rFonts w:ascii="Verdana" w:hAnsi="Verdana"/>
          <w:b/>
        </w:rPr>
        <w:t>vyšovanie príplatkov za prácu cez víkendy, sviatky a v noci</w:t>
      </w:r>
      <w:r>
        <w:rPr>
          <w:rFonts w:ascii="Verdana" w:hAnsi="Verdana"/>
        </w:rPr>
        <w:t xml:space="preserve"> v rokoch 2018 a 2019 malo negatívny dopad na 42 % oslovených MSP. </w:t>
      </w:r>
    </w:p>
    <w:p w:rsidR="00265A05" w:rsidRDefault="00CA3A9E" w:rsidP="0077337F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lastRenderedPageBreak/>
        <w:t>Z</w:t>
      </w:r>
      <w:r w:rsidR="008A653F">
        <w:rPr>
          <w:rFonts w:ascii="Verdana" w:hAnsi="Verdana"/>
        </w:rPr>
        <w:t>avedenie</w:t>
      </w:r>
      <w:r w:rsidRPr="00CA3A9E">
        <w:rPr>
          <w:rFonts w:ascii="Verdana" w:hAnsi="Verdana"/>
        </w:rPr>
        <w:t xml:space="preserve"> </w:t>
      </w:r>
      <w:r w:rsidR="00097C35" w:rsidRPr="00097C35">
        <w:rPr>
          <w:rFonts w:ascii="Verdana" w:hAnsi="Verdana"/>
        </w:rPr>
        <w:t xml:space="preserve">príplatkov za prácu cez víkendy, sviatky a v noci </w:t>
      </w:r>
      <w:r w:rsidRPr="00CA3A9E">
        <w:rPr>
          <w:rFonts w:ascii="Verdana" w:hAnsi="Verdana"/>
        </w:rPr>
        <w:t>malo negatívne dopady na široké spektrum oblastí podnikania malých a stredn</w:t>
      </w:r>
      <w:r>
        <w:rPr>
          <w:rFonts w:ascii="Verdana" w:hAnsi="Verdana"/>
        </w:rPr>
        <w:t xml:space="preserve">ých podnikateľov. </w:t>
      </w:r>
      <w:r w:rsidR="008A653F" w:rsidRPr="00097C35">
        <w:rPr>
          <w:rFonts w:ascii="Verdana" w:hAnsi="Verdana"/>
          <w:b/>
        </w:rPr>
        <w:t>Polovica podnikateľov</w:t>
      </w:r>
      <w:r w:rsidR="008A653F" w:rsidRPr="008A653F">
        <w:rPr>
          <w:rFonts w:ascii="Verdana" w:hAnsi="Verdana"/>
        </w:rPr>
        <w:t xml:space="preserve"> reagovala na povinnosť zvyšovania príplatkov</w:t>
      </w:r>
      <w:r w:rsidR="008A653F">
        <w:rPr>
          <w:rFonts w:ascii="Verdana" w:hAnsi="Verdana"/>
        </w:rPr>
        <w:t xml:space="preserve"> buď </w:t>
      </w:r>
      <w:r w:rsidR="008A653F" w:rsidRPr="008A653F">
        <w:rPr>
          <w:rFonts w:ascii="Verdana" w:hAnsi="Verdana"/>
        </w:rPr>
        <w:t>nep</w:t>
      </w:r>
      <w:r w:rsidR="008A653F">
        <w:rPr>
          <w:rFonts w:ascii="Verdana" w:hAnsi="Verdana"/>
        </w:rPr>
        <w:t>oskytovaním služieb (28</w:t>
      </w:r>
      <w:r w:rsidR="008A653F" w:rsidRPr="008A653F">
        <w:rPr>
          <w:rFonts w:ascii="Verdana" w:hAnsi="Verdana"/>
        </w:rPr>
        <w:t xml:space="preserve"> %)</w:t>
      </w:r>
      <w:r w:rsidR="00097C35">
        <w:rPr>
          <w:rFonts w:ascii="Verdana" w:hAnsi="Verdana"/>
        </w:rPr>
        <w:t xml:space="preserve"> alebo obmedzením výrobnej prevádzky (22 %) </w:t>
      </w:r>
      <w:r w:rsidR="00265A05">
        <w:rPr>
          <w:rFonts w:ascii="Verdana" w:hAnsi="Verdana"/>
        </w:rPr>
        <w:t>v</w:t>
      </w:r>
      <w:r w:rsidR="00097C35" w:rsidRPr="008A653F">
        <w:rPr>
          <w:rFonts w:ascii="Verdana" w:hAnsi="Verdana"/>
        </w:rPr>
        <w:t xml:space="preserve"> </w:t>
      </w:r>
      <w:r w:rsidR="00265A05">
        <w:rPr>
          <w:rFonts w:ascii="Verdana" w:hAnsi="Verdana"/>
        </w:rPr>
        <w:t>tieto dni</w:t>
      </w:r>
      <w:r w:rsidR="00097C35" w:rsidRPr="008A653F">
        <w:rPr>
          <w:rFonts w:ascii="Verdana" w:hAnsi="Verdana"/>
        </w:rPr>
        <w:t>.</w:t>
      </w:r>
      <w:r w:rsidR="00097C35" w:rsidRPr="00097C35">
        <w:rPr>
          <w:rFonts w:ascii="Verdana" w:hAnsi="Verdana"/>
          <w:b/>
        </w:rPr>
        <w:t xml:space="preserve"> </w:t>
      </w:r>
      <w:r w:rsidR="00D1091C">
        <w:rPr>
          <w:rFonts w:ascii="Verdana" w:hAnsi="Verdana"/>
        </w:rPr>
        <w:t xml:space="preserve">Prijatie tohto legislatívneho opatrenia sa v prípade </w:t>
      </w:r>
      <w:r w:rsidR="00D1091C" w:rsidRPr="00D1091C">
        <w:rPr>
          <w:rFonts w:ascii="Verdana" w:hAnsi="Verdana"/>
          <w:b/>
        </w:rPr>
        <w:t>38 % MSP prejavilo</w:t>
      </w:r>
      <w:r w:rsidR="00D1091C">
        <w:rPr>
          <w:rFonts w:ascii="Verdana" w:hAnsi="Verdana"/>
        </w:rPr>
        <w:t xml:space="preserve"> </w:t>
      </w:r>
      <w:r w:rsidR="00D1091C">
        <w:rPr>
          <w:rFonts w:ascii="Verdana" w:hAnsi="Verdana"/>
          <w:b/>
        </w:rPr>
        <w:t>zvýšením cien svojich produktov a služieb</w:t>
      </w:r>
      <w:r w:rsidR="00D1091C" w:rsidRPr="00D1091C">
        <w:rPr>
          <w:rFonts w:ascii="Verdana" w:hAnsi="Verdana"/>
        </w:rPr>
        <w:t>.</w:t>
      </w:r>
      <w:r w:rsidR="00D1091C">
        <w:rPr>
          <w:rFonts w:ascii="Verdana" w:hAnsi="Verdana"/>
        </w:rPr>
        <w:t xml:space="preserve"> </w:t>
      </w:r>
      <w:r w:rsidR="00D1091C" w:rsidRPr="00D1091C">
        <w:rPr>
          <w:rFonts w:ascii="Verdana" w:hAnsi="Verdana"/>
        </w:rPr>
        <w:t>Až k prepúšťaniu z</w:t>
      </w:r>
      <w:r w:rsidR="00D1091C">
        <w:rPr>
          <w:rFonts w:ascii="Verdana" w:hAnsi="Verdana"/>
        </w:rPr>
        <w:t>amestnancov muselo pristúpiť 9</w:t>
      </w:r>
      <w:r w:rsidR="00D1091C" w:rsidRPr="00D1091C">
        <w:rPr>
          <w:rFonts w:ascii="Verdana" w:hAnsi="Verdana"/>
        </w:rPr>
        <w:t xml:space="preserve"> % MSP na Slovensku.</w:t>
      </w:r>
    </w:p>
    <w:p w:rsidR="0077337F" w:rsidRDefault="0077337F" w:rsidP="00D51D55">
      <w:pPr>
        <w:jc w:val="both"/>
        <w:rPr>
          <w:rFonts w:ascii="Verdana" w:hAnsi="Verdana"/>
        </w:rPr>
      </w:pPr>
    </w:p>
    <w:p w:rsidR="0077337F" w:rsidRDefault="00D1091C" w:rsidP="00D51D55">
      <w:pPr>
        <w:jc w:val="both"/>
        <w:rPr>
          <w:rFonts w:ascii="Verdana" w:hAnsi="Verdana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Podrobnejšie výsledky prieskumu </w:t>
      </w:r>
      <w:r w:rsidR="00B50AEB">
        <w:rPr>
          <w:rFonts w:ascii="Verdana" w:hAnsi="Verdana"/>
          <w:color w:val="222222"/>
          <w:sz w:val="23"/>
          <w:szCs w:val="23"/>
          <w:shd w:val="clear" w:color="auto" w:fill="FFFFFF"/>
        </w:rPr>
        <w:t>sú dostupné v správe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z prieskumu.</w:t>
      </w:r>
    </w:p>
    <w:p w:rsidR="0077337F" w:rsidRPr="00984A94" w:rsidRDefault="0077337F" w:rsidP="00D51D55">
      <w:pPr>
        <w:jc w:val="both"/>
        <w:rPr>
          <w:rFonts w:ascii="Verdana" w:hAnsi="Verdana"/>
        </w:rPr>
      </w:pPr>
    </w:p>
    <w:sectPr w:rsidR="0077337F" w:rsidRPr="0098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6192"/>
    <w:multiLevelType w:val="hybridMultilevel"/>
    <w:tmpl w:val="D36A3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1A"/>
    <w:rsid w:val="00097C35"/>
    <w:rsid w:val="001D3B1A"/>
    <w:rsid w:val="001F309A"/>
    <w:rsid w:val="00265A05"/>
    <w:rsid w:val="003B2B72"/>
    <w:rsid w:val="00473D4C"/>
    <w:rsid w:val="005768B6"/>
    <w:rsid w:val="0060278B"/>
    <w:rsid w:val="006D3CA5"/>
    <w:rsid w:val="0077337F"/>
    <w:rsid w:val="008A653F"/>
    <w:rsid w:val="008F177C"/>
    <w:rsid w:val="00936DFD"/>
    <w:rsid w:val="00984A94"/>
    <w:rsid w:val="009D14C2"/>
    <w:rsid w:val="00A76D5B"/>
    <w:rsid w:val="00AA2909"/>
    <w:rsid w:val="00B50AEB"/>
    <w:rsid w:val="00B55E8C"/>
    <w:rsid w:val="00BC73FD"/>
    <w:rsid w:val="00BE1A0B"/>
    <w:rsid w:val="00BE72AE"/>
    <w:rsid w:val="00C125BD"/>
    <w:rsid w:val="00C37CF4"/>
    <w:rsid w:val="00C66F5D"/>
    <w:rsid w:val="00CA3A9E"/>
    <w:rsid w:val="00D1091C"/>
    <w:rsid w:val="00D51D55"/>
    <w:rsid w:val="00D830D8"/>
    <w:rsid w:val="00DB2440"/>
    <w:rsid w:val="00EE0AF7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6D5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E1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6D5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E1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ileServer\share\Oapp\Interne%20vystupy\2020\Prieskumy\spravy%20z%20prieskumov\Kvalita%20PP\Kvalita%20PP_v10%2002%202020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Lukas\prieskum_KvalitaPP_2020\Kvalita%20PP_v10%2002%2020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199238066939746"/>
          <c:y val="5.0799926109198534E-2"/>
          <c:w val="0.54801434018860851"/>
          <c:h val="0.85254385084530804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'Q2'!$P$2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E06EA2">
                <a:alpha val="70000"/>
              </a:srgb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'Q2'!$H$3:$H$9</c:f>
              <c:strCache>
                <c:ptCount val="7"/>
                <c:pt idx="0">
                  <c:v>Organizovaný zločin, vydieranie</c:v>
                </c:pt>
                <c:pt idx="1">
                  <c:v>Obmedzenie vstupu na trh a iné protikonkurenčné praktiky</c:v>
                </c:pt>
                <c:pt idx="2">
                  <c:v>Kvalita a dostupnosť infraštruktúry</c:v>
                </c:pt>
                <c:pt idx="3">
                  <c:v>Vymožiteľnosť práva cez súdy</c:v>
                </c:pt>
                <c:pt idx="4">
                  <c:v>Korupcia</c:v>
                </c:pt>
                <c:pt idx="5">
                  <c:v>Dostupnosť a kvalita pracovnej sily</c:v>
                </c:pt>
                <c:pt idx="6">
                  <c:v>Nestabilita a nejednoznačnosť zákonov</c:v>
                </c:pt>
              </c:strCache>
            </c:strRef>
          </c:cat>
          <c:val>
            <c:numRef>
              <c:f>'Q2'!$P$3:$P$9</c:f>
              <c:numCache>
                <c:formatCode>0.0%</c:formatCode>
                <c:ptCount val="7"/>
                <c:pt idx="0">
                  <c:v>0.43600000000000205</c:v>
                </c:pt>
                <c:pt idx="1">
                  <c:v>0.61500000000000365</c:v>
                </c:pt>
                <c:pt idx="2">
                  <c:v>0.42100000000000032</c:v>
                </c:pt>
                <c:pt idx="3">
                  <c:v>0.60600000000000065</c:v>
                </c:pt>
                <c:pt idx="4">
                  <c:v>0.67800000000000504</c:v>
                </c:pt>
                <c:pt idx="5">
                  <c:v>0.58699999999999997</c:v>
                </c:pt>
                <c:pt idx="6">
                  <c:v>0.86200000000000065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C8-4287-9F0F-49ABA3146E2A}"/>
            </c:ext>
          </c:extLst>
        </c:ser>
        <c:ser>
          <c:idx val="1"/>
          <c:order val="1"/>
          <c:tx>
            <c:strRef>
              <c:f>'Q2'!$O$2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D74587">
                <a:alpha val="80000"/>
              </a:srgb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'Q2'!$H$3:$H$9</c:f>
              <c:strCache>
                <c:ptCount val="7"/>
                <c:pt idx="0">
                  <c:v>Organizovaný zločin, vydieranie</c:v>
                </c:pt>
                <c:pt idx="1">
                  <c:v>Obmedzenie vstupu na trh a iné protikonkurenčné praktiky</c:v>
                </c:pt>
                <c:pt idx="2">
                  <c:v>Kvalita a dostupnosť infraštruktúry</c:v>
                </c:pt>
                <c:pt idx="3">
                  <c:v>Vymožiteľnosť práva cez súdy</c:v>
                </c:pt>
                <c:pt idx="4">
                  <c:v>Korupcia</c:v>
                </c:pt>
                <c:pt idx="5">
                  <c:v>Dostupnosť a kvalita pracovnej sily</c:v>
                </c:pt>
                <c:pt idx="6">
                  <c:v>Nestabilita a nejednoznačnosť zákonov</c:v>
                </c:pt>
              </c:strCache>
            </c:strRef>
          </c:cat>
          <c:val>
            <c:numRef>
              <c:f>'Q2'!$O$3:$O$9</c:f>
              <c:numCache>
                <c:formatCode>0.0%</c:formatCode>
                <c:ptCount val="7"/>
                <c:pt idx="0">
                  <c:v>0.30600000000000038</c:v>
                </c:pt>
                <c:pt idx="1">
                  <c:v>0.50600000000000001</c:v>
                </c:pt>
                <c:pt idx="2">
                  <c:v>0.56200000000000061</c:v>
                </c:pt>
                <c:pt idx="3">
                  <c:v>0.68599999999999994</c:v>
                </c:pt>
                <c:pt idx="4">
                  <c:v>0.67800000000000515</c:v>
                </c:pt>
                <c:pt idx="5">
                  <c:v>0.76200000000000445</c:v>
                </c:pt>
                <c:pt idx="6">
                  <c:v>0.86000000000000065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C8-4287-9F0F-49ABA3146E2A}"/>
            </c:ext>
          </c:extLst>
        </c:ser>
        <c:ser>
          <c:idx val="0"/>
          <c:order val="2"/>
          <c:tx>
            <c:strRef>
              <c:f>'Q2'!$N$2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B2B73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'Q2'!$H$3:$H$9</c:f>
              <c:strCache>
                <c:ptCount val="7"/>
                <c:pt idx="0">
                  <c:v>Organizovaný zločin, vydieranie</c:v>
                </c:pt>
                <c:pt idx="1">
                  <c:v>Obmedzenie vstupu na trh a iné protikonkurenčné praktiky</c:v>
                </c:pt>
                <c:pt idx="2">
                  <c:v>Kvalita a dostupnosť infraštruktúry</c:v>
                </c:pt>
                <c:pt idx="3">
                  <c:v>Vymožiteľnosť práva cez súdy</c:v>
                </c:pt>
                <c:pt idx="4">
                  <c:v>Korupcia</c:v>
                </c:pt>
                <c:pt idx="5">
                  <c:v>Dostupnosť a kvalita pracovnej sily</c:v>
                </c:pt>
                <c:pt idx="6">
                  <c:v>Nestabilita a nejednoznačnosť zákonov</c:v>
                </c:pt>
              </c:strCache>
            </c:strRef>
          </c:cat>
          <c:val>
            <c:numRef>
              <c:f>'Q2'!$N$3:$N$9</c:f>
              <c:numCache>
                <c:formatCode>0.0%</c:formatCode>
                <c:ptCount val="7"/>
                <c:pt idx="0">
                  <c:v>0.44900000000000007</c:v>
                </c:pt>
                <c:pt idx="1">
                  <c:v>0.65500000000000513</c:v>
                </c:pt>
                <c:pt idx="2">
                  <c:v>0.71100000000000063</c:v>
                </c:pt>
                <c:pt idx="3">
                  <c:v>0.77000000000000435</c:v>
                </c:pt>
                <c:pt idx="4">
                  <c:v>0.77400000000000468</c:v>
                </c:pt>
                <c:pt idx="5">
                  <c:v>0.80599999999999994</c:v>
                </c:pt>
                <c:pt idx="6">
                  <c:v>0.93600000000000005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C8-4287-9F0F-49ABA3146E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1519104"/>
        <c:axId val="161520640"/>
      </c:barChart>
      <c:catAx>
        <c:axId val="161519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2">
                <a:lumMod val="90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sk-SK"/>
          </a:p>
        </c:txPr>
        <c:crossAx val="161520640"/>
        <c:crosses val="autoZero"/>
        <c:auto val="1"/>
        <c:lblAlgn val="ctr"/>
        <c:lblOffset val="100"/>
        <c:noMultiLvlLbl val="0"/>
      </c:catAx>
      <c:valAx>
        <c:axId val="161520640"/>
        <c:scaling>
          <c:orientation val="minMax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sk-SK"/>
          </a:p>
        </c:txPr>
        <c:crossAx val="16151910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90357585018854281"/>
          <c:y val="0.5797861852634274"/>
          <c:w val="9.0257092621868568E-2"/>
          <c:h val="0.26762106527845353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Verdana" panose="020B0604030504040204" pitchFamily="34" charset="0"/>
          <a:ea typeface="Verdana" panose="020B0604030504040204" pitchFamily="34" charset="0"/>
          <a:cs typeface="Arial" panose="020B0604020202020204" pitchFamily="34" charset="0"/>
        </a:defRPr>
      </a:pPr>
      <a:endParaRPr lang="sk-SK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267656249999987"/>
          <c:y val="9.1977521214756136E-2"/>
          <c:w val="0.751423611111113"/>
          <c:h val="0.63381414746469578"/>
        </c:manualLayout>
      </c:layout>
      <c:barChart>
        <c:barDir val="bar"/>
        <c:grouping val="percentStacked"/>
        <c:varyColors val="0"/>
        <c:ser>
          <c:idx val="3"/>
          <c:order val="0"/>
          <c:tx>
            <c:strRef>
              <c:f>'Q13'!$B$16</c:f>
              <c:strCache>
                <c:ptCount val="1"/>
                <c:pt idx="0">
                  <c:v>Určite nie</c:v>
                </c:pt>
              </c:strCache>
            </c:strRef>
          </c:tx>
          <c:spPr>
            <a:solidFill>
              <a:srgbClr val="D74587"/>
            </a:solidFill>
            <a:ln w="19050"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'Q13'!$G$12:$I$12</c:f>
              <c:numCache>
                <c:formatCode>General</c:formatCode>
                <c:ptCount val="3"/>
                <c:pt idx="0">
                  <c:v>2010</c:v>
                </c:pt>
                <c:pt idx="1">
                  <c:v>2018</c:v>
                </c:pt>
                <c:pt idx="2">
                  <c:v>2020</c:v>
                </c:pt>
              </c:numCache>
            </c:numRef>
          </c:cat>
          <c:val>
            <c:numRef>
              <c:f>'Q13'!$G$16:$I$16</c:f>
              <c:numCache>
                <c:formatCode>0.0%</c:formatCode>
                <c:ptCount val="3"/>
                <c:pt idx="0">
                  <c:v>9.2999999999999999E-2</c:v>
                </c:pt>
                <c:pt idx="1">
                  <c:v>0.13500000000000001</c:v>
                </c:pt>
                <c:pt idx="2">
                  <c:v>0.182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B-8D13-439D-9820-21AA2B42CFD4}"/>
            </c:ext>
          </c:extLst>
        </c:ser>
        <c:ser>
          <c:idx val="2"/>
          <c:order val="1"/>
          <c:tx>
            <c:strRef>
              <c:f>'Q13'!$B$15</c:f>
              <c:strCache>
                <c:ptCount val="1"/>
                <c:pt idx="0">
                  <c:v>Skôr nie</c:v>
                </c:pt>
              </c:strCache>
            </c:strRef>
          </c:tx>
          <c:spPr>
            <a:solidFill>
              <a:srgbClr val="E06EA2"/>
            </a:solidFill>
            <a:ln w="19050"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'Q13'!$G$12:$I$12</c:f>
              <c:numCache>
                <c:formatCode>General</c:formatCode>
                <c:ptCount val="3"/>
                <c:pt idx="0">
                  <c:v>2010</c:v>
                </c:pt>
                <c:pt idx="1">
                  <c:v>2018</c:v>
                </c:pt>
                <c:pt idx="2">
                  <c:v>2020</c:v>
                </c:pt>
              </c:numCache>
            </c:numRef>
          </c:cat>
          <c:val>
            <c:numRef>
              <c:f>'Q13'!$G$15:$I$15</c:f>
              <c:numCache>
                <c:formatCode>0.0%</c:formatCode>
                <c:ptCount val="3"/>
                <c:pt idx="0">
                  <c:v>0.45400000000000001</c:v>
                </c:pt>
                <c:pt idx="1">
                  <c:v>0.17</c:v>
                </c:pt>
                <c:pt idx="2">
                  <c:v>0.17599999999999999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8D13-439D-9820-21AA2B42CFD4}"/>
            </c:ext>
          </c:extLst>
        </c:ser>
        <c:ser>
          <c:idx val="0"/>
          <c:order val="2"/>
          <c:tx>
            <c:strRef>
              <c:f>'Q13'!$B$14</c:f>
              <c:strCache>
                <c:ptCount val="1"/>
                <c:pt idx="0">
                  <c:v>Skôr áno</c:v>
                </c:pt>
              </c:strCache>
            </c:strRef>
          </c:tx>
          <c:spPr>
            <a:solidFill>
              <a:srgbClr val="2CAAA4"/>
            </a:solidFill>
            <a:ln w="19050"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'Q13'!$G$12:$I$12</c:f>
              <c:numCache>
                <c:formatCode>General</c:formatCode>
                <c:ptCount val="3"/>
                <c:pt idx="0">
                  <c:v>2010</c:v>
                </c:pt>
                <c:pt idx="1">
                  <c:v>2018</c:v>
                </c:pt>
                <c:pt idx="2">
                  <c:v>2020</c:v>
                </c:pt>
              </c:numCache>
            </c:numRef>
          </c:cat>
          <c:val>
            <c:numRef>
              <c:f>'Q13'!$G$14:$I$14</c:f>
              <c:numCache>
                <c:formatCode>0.0%</c:formatCode>
                <c:ptCount val="3"/>
                <c:pt idx="0">
                  <c:v>0.187</c:v>
                </c:pt>
                <c:pt idx="1">
                  <c:v>0.28000000000000003</c:v>
                </c:pt>
                <c:pt idx="2">
                  <c:v>0.27900000000000003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8D13-439D-9820-21AA2B42CFD4}"/>
            </c:ext>
          </c:extLst>
        </c:ser>
        <c:ser>
          <c:idx val="1"/>
          <c:order val="3"/>
          <c:tx>
            <c:strRef>
              <c:f>'Q13'!$B$13</c:f>
              <c:strCache>
                <c:ptCount val="1"/>
                <c:pt idx="0">
                  <c:v>Určite áno</c:v>
                </c:pt>
              </c:strCache>
            </c:strRef>
          </c:tx>
          <c:spPr>
            <a:solidFill>
              <a:srgbClr val="248C87"/>
            </a:solidFill>
            <a:ln w="0"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'Q13'!$G$12:$I$12</c:f>
              <c:numCache>
                <c:formatCode>General</c:formatCode>
                <c:ptCount val="3"/>
                <c:pt idx="0">
                  <c:v>2010</c:v>
                </c:pt>
                <c:pt idx="1">
                  <c:v>2018</c:v>
                </c:pt>
                <c:pt idx="2">
                  <c:v>2020</c:v>
                </c:pt>
              </c:numCache>
            </c:numRef>
          </c:cat>
          <c:val>
            <c:numRef>
              <c:f>'Q13'!$G$13:$I$13</c:f>
              <c:numCache>
                <c:formatCode>0.0%</c:formatCode>
                <c:ptCount val="3"/>
                <c:pt idx="0">
                  <c:v>0.252</c:v>
                </c:pt>
                <c:pt idx="1">
                  <c:v>0.34899999999999998</c:v>
                </c:pt>
                <c:pt idx="2">
                  <c:v>0.33500000000000002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D13-439D-9820-21AA2B42CFD4}"/>
            </c:ext>
          </c:extLst>
        </c:ser>
        <c:ser>
          <c:idx val="4"/>
          <c:order val="4"/>
          <c:tx>
            <c:strRef>
              <c:f>'Q13'!$B$17</c:f>
              <c:strCache>
                <c:ptCount val="1"/>
                <c:pt idx="0">
                  <c:v>Nevie posúdiť</c:v>
                </c:pt>
              </c:strCache>
            </c:strRef>
          </c:tx>
          <c:spPr>
            <a:solidFill>
              <a:srgbClr val="E7E6E6">
                <a:lumMod val="90000"/>
              </a:srgbClr>
            </a:solidFill>
            <a:ln w="19050"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07305555555553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8D13-439D-9820-21AA2B42CFD4}"/>
                </c:ext>
              </c:extLst>
            </c:dLbl>
            <c:dLbl>
              <c:idx val="2"/>
              <c:layout>
                <c:manualLayout>
                  <c:x val="3.6344444444444443E-2"/>
                  <c:y val="-4.0421986745464046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8D13-439D-9820-21AA2B42CFD4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sk-SK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'Q13'!$G$12:$I$12</c:f>
              <c:numCache>
                <c:formatCode>General</c:formatCode>
                <c:ptCount val="3"/>
                <c:pt idx="0">
                  <c:v>2010</c:v>
                </c:pt>
                <c:pt idx="1">
                  <c:v>2018</c:v>
                </c:pt>
                <c:pt idx="2">
                  <c:v>2020</c:v>
                </c:pt>
              </c:numCache>
            </c:numRef>
          </c:cat>
          <c:val>
            <c:numRef>
              <c:f>'Q13'!$G$17:$I$17</c:f>
              <c:numCache>
                <c:formatCode>0.0%</c:formatCode>
                <c:ptCount val="3"/>
                <c:pt idx="0">
                  <c:v>1.2999999999999999E-2</c:v>
                </c:pt>
                <c:pt idx="1">
                  <c:v>6.6000000000000003E-2</c:v>
                </c:pt>
                <c:pt idx="2">
                  <c:v>2.8000000000000004E-2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C-8D13-439D-9820-21AA2B42C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61613312"/>
        <c:axId val="161611776"/>
      </c:barChart>
      <c:valAx>
        <c:axId val="161611776"/>
        <c:scaling>
          <c:orientation val="minMax"/>
          <c:min val="0"/>
        </c:scaling>
        <c:delete val="1"/>
        <c:axPos val="b"/>
        <c:numFmt formatCode="0%" sourceLinked="1"/>
        <c:majorTickMark val="out"/>
        <c:minorTickMark val="none"/>
        <c:tickLblPos val="none"/>
        <c:crossAx val="161613312"/>
        <c:crosses val="autoZero"/>
        <c:crossBetween val="between"/>
      </c:valAx>
      <c:catAx>
        <c:axId val="161613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sk-SK"/>
          </a:p>
        </c:txPr>
        <c:crossAx val="1616117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144618055555573E-2"/>
          <c:y val="0.78855590277777754"/>
          <c:w val="0.87407187500000239"/>
          <c:h val="7.915243055555584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 rtl="0">
            <a:defRPr/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bg2">
              <a:lumMod val="25000"/>
            </a:schemeClr>
          </a:solidFill>
          <a:latin typeface="Verdana" panose="020B0604030504040204" pitchFamily="34" charset="0"/>
          <a:ea typeface="Verdana" panose="020B0604030504040204" pitchFamily="34" charset="0"/>
          <a:cs typeface="Arial" panose="020B0604020202020204" pitchFamily="34" charset="0"/>
        </a:defRPr>
      </a:pPr>
      <a:endParaRPr lang="sk-SK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0.00983</cdr:x>
      <cdr:y>0.93031</cdr:y>
    </cdr:from>
    <cdr:to>
      <cdr:x>0.24528</cdr:x>
      <cdr:y>0.99303</cdr:y>
    </cdr:to>
    <cdr:sp macro="" textlink="">
      <cdr:nvSpPr>
        <cdr:cNvPr id="2" name="BlokTextu 2"/>
        <cdr:cNvSpPr txBox="1"/>
      </cdr:nvSpPr>
      <cdr:spPr>
        <a:xfrm xmlns:a="http://schemas.openxmlformats.org/drawingml/2006/main">
          <a:off x="55579" y="2543175"/>
          <a:ext cx="1331261" cy="17145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b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k-SK" sz="800" b="1" i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Arial" panose="020B0604020202020204" pitchFamily="34" charset="0"/>
            </a:rPr>
            <a:t>Zdroj:</a:t>
          </a:r>
          <a:r>
            <a:rPr lang="sk-SK" sz="800" i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Arial" panose="020B0604020202020204" pitchFamily="34" charset="0"/>
            </a:rPr>
            <a:t> SBA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0.86116</cdr:x>
      <cdr:y>0.82047</cdr:y>
    </cdr:from>
    <cdr:to>
      <cdr:x>1</cdr:x>
      <cdr:y>1</cdr:y>
    </cdr:to>
    <cdr:sp macro="" textlink="">
      <cdr:nvSpPr>
        <cdr:cNvPr id="4" name="BlokTextu 2"/>
        <cdr:cNvSpPr txBox="1"/>
      </cdr:nvSpPr>
      <cdr:spPr>
        <a:xfrm xmlns:a="http://schemas.openxmlformats.org/drawingml/2006/main">
          <a:off x="4962525" y="1273844"/>
          <a:ext cx="800100" cy="27873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b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k-SK" sz="700" b="1" i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Arial" panose="020B0604020202020204" pitchFamily="34" charset="0"/>
            </a:rPr>
            <a:t>Zdroj: </a:t>
          </a:r>
          <a:r>
            <a:rPr lang="sk-SK" sz="700" i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Arial" panose="020B0604020202020204" pitchFamily="34" charset="0"/>
            </a:rPr>
            <a:t>SBA</a:t>
          </a:r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</dc:creator>
  <cp:keywords/>
  <dc:description/>
  <cp:lastModifiedBy>OKR</cp:lastModifiedBy>
  <cp:revision>11</cp:revision>
  <dcterms:created xsi:type="dcterms:W3CDTF">2020-04-29T12:29:00Z</dcterms:created>
  <dcterms:modified xsi:type="dcterms:W3CDTF">2020-04-30T13:52:00Z</dcterms:modified>
</cp:coreProperties>
</file>